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C821E">
      <w:pPr>
        <w:pStyle w:val="3"/>
        <w:spacing w:before="0" w:beforeAutospacing="0" w:after="0" w:afterAutospacing="0" w:line="560" w:lineRule="exact"/>
        <w:jc w:val="both"/>
        <w:rPr>
          <w:rFonts w:hint="eastAsia" w:ascii="方正黑体简体" w:hAnsi="国标黑体" w:eastAsia="方正黑体简体" w:cs="国标黑体"/>
          <w:sz w:val="32"/>
          <w:szCs w:val="32"/>
        </w:rPr>
      </w:pPr>
      <w:r>
        <w:rPr>
          <w:rFonts w:hint="eastAsia" w:ascii="方正黑体简体" w:hAnsi="国标黑体" w:eastAsia="方正黑体简体" w:cs="国标黑体"/>
          <w:sz w:val="32"/>
          <w:szCs w:val="32"/>
        </w:rPr>
        <w:t>附件3</w:t>
      </w:r>
    </w:p>
    <w:p w14:paraId="51BF7D74"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陕甘青宁新晋蒙豫及新疆生产建设兵团</w:t>
      </w:r>
    </w:p>
    <w:p w14:paraId="457055F2">
      <w:pPr>
        <w:pStyle w:val="3"/>
        <w:spacing w:before="0" w:beforeAutospacing="0" w:after="156" w:afterLines="5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检验结果区域互认实验室评估表</w:t>
      </w:r>
    </w:p>
    <w:bookmarkEnd w:id="0"/>
    <w:p w14:paraId="42712F49">
      <w:pPr>
        <w:adjustRightInd w:val="0"/>
        <w:snapToGrid w:val="0"/>
        <w:spacing w:before="312" w:beforeLines="100" w:line="44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地址：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</w:t>
      </w:r>
    </w:p>
    <w:p w14:paraId="6797C45A">
      <w:pPr>
        <w:adjustRightInd w:val="0"/>
        <w:snapToGrid w:val="0"/>
        <w:spacing w:before="156" w:beforeLines="50" w:line="44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实验室名称：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负责人：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电话：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 xml:space="preserve">                        </w:t>
      </w:r>
    </w:p>
    <w:p w14:paraId="61CCBA41">
      <w:pPr>
        <w:adjustRightInd w:val="0"/>
        <w:snapToGrid w:val="0"/>
        <w:spacing w:before="156" w:beforeLines="50" w:line="44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评估得分：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 xml:space="preserve">            </w:t>
      </w:r>
    </w:p>
    <w:p w14:paraId="09FCADF0">
      <w:pPr>
        <w:adjustRightInd w:val="0"/>
        <w:snapToGrid w:val="0"/>
        <w:spacing w:line="440" w:lineRule="exact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评估通过项目：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K、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Na、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Cl、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Ca、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P、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TBIL、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DBIL、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TP、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ALB、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Glu、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Urea、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Cr、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UA、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ALT、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AST、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γ-GGT、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ALP、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CK、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LDH、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AMY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α-HBDH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CHE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TC、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TG、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HDL-C、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LDL-C、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Apo AI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Apo B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HbA1c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T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  <w:vertAlign w:val="subscript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FT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  <w:vertAlign w:val="subscript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T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  <w:vertAlign w:val="subscript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FT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  <w:vertAlign w:val="subscript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TSH、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CEA、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AFP、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PSA、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F-PSA、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β-HCG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HBsAg、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HBsAb、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HBeAg、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HBeAb、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HBcAb、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Anti-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HCV、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Anti-TP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C3、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C4、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IgG、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IgM、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IgA、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CRP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WBC、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RBC、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Hgb、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Hct、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Plt、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MCV、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MCH、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MCHC、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PT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APTT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Fbg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TT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SG、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pH、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PRO、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GLU、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KET、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BIL、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BLD、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NIT、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URO、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LEU、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HBV DNA、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HCV RNA、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SARS-CoV-2 RNA、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涂片抗酸染色检测分枝杆菌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常见需氧菌鉴定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32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24"/>
          <w:szCs w:val="32"/>
        </w:rPr>
        <w:t>常见需氧菌药敏</w:t>
      </w:r>
    </w:p>
    <w:p w14:paraId="1C22B1A7">
      <w:pPr>
        <w:adjustRightInd w:val="0"/>
        <w:snapToGrid w:val="0"/>
        <w:spacing w:before="156" w:beforeLines="50" w:line="44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整改建议：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                    </w:t>
      </w:r>
    </w:p>
    <w:p w14:paraId="37BD92C3">
      <w:pPr>
        <w:adjustRightInd w:val="0"/>
        <w:snapToGrid w:val="0"/>
        <w:spacing w:line="440" w:lineRule="exact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                           </w:t>
      </w:r>
    </w:p>
    <w:p w14:paraId="530327B9">
      <w:pPr>
        <w:adjustRightInd w:val="0"/>
        <w:snapToGrid w:val="0"/>
        <w:spacing w:line="440" w:lineRule="exact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                           </w:t>
      </w:r>
    </w:p>
    <w:p w14:paraId="798962A5">
      <w:pPr>
        <w:adjustRightInd w:val="0"/>
        <w:snapToGrid w:val="0"/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F25EC7">
      <w:pPr>
        <w:adjustRightInd w:val="0"/>
        <w:snapToGrid w:val="0"/>
        <w:spacing w:line="480" w:lineRule="exact"/>
        <w:rPr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评估专家签字：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实验室负责人签字盖章：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bCs/>
          <w:color w:val="000000"/>
          <w:kern w:val="0"/>
          <w:sz w:val="28"/>
          <w:szCs w:val="28"/>
          <w:u w:val="single"/>
        </w:rPr>
        <w:t xml:space="preserve">      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8125"/>
        <w:gridCol w:w="1684"/>
        <w:gridCol w:w="867"/>
        <w:gridCol w:w="768"/>
        <w:gridCol w:w="1066"/>
      </w:tblGrid>
      <w:tr w14:paraId="2EF0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1D2A">
            <w:pPr>
              <w:widowControl/>
              <w:adjustRightInd w:val="0"/>
              <w:snapToGrid w:val="0"/>
              <w:jc w:val="center"/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  <w:t>评估内容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FEF9">
            <w:pPr>
              <w:widowControl/>
              <w:adjustRightInd w:val="0"/>
              <w:snapToGrid w:val="0"/>
              <w:jc w:val="center"/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  <w:t>评分标准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49C1">
            <w:pPr>
              <w:widowControl/>
              <w:adjustRightInd w:val="0"/>
              <w:snapToGrid w:val="0"/>
              <w:jc w:val="center"/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  <w:t>评估方法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FF6A">
            <w:pPr>
              <w:widowControl/>
              <w:adjustRightInd w:val="0"/>
              <w:snapToGrid w:val="0"/>
              <w:jc w:val="center"/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  <w:t>分值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2384">
            <w:pPr>
              <w:widowControl/>
              <w:adjustRightInd w:val="0"/>
              <w:snapToGrid w:val="0"/>
              <w:jc w:val="center"/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  <w:t>扣分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A5D9">
            <w:pPr>
              <w:widowControl/>
              <w:adjustRightInd w:val="0"/>
              <w:snapToGrid w:val="0"/>
              <w:jc w:val="center"/>
              <w:rPr>
                <w:rFonts w:hint="eastAsia" w:ascii="方正黑体简体" w:hAnsi="仿宋_GB2312" w:eastAsia="方正黑体简体" w:cs="仿宋_GB2312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  <w:t>扣分</w:t>
            </w:r>
          </w:p>
          <w:p w14:paraId="38EFBF0C">
            <w:pPr>
              <w:widowControl/>
              <w:adjustRightInd w:val="0"/>
              <w:snapToGrid w:val="0"/>
              <w:jc w:val="center"/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  <w:t>说明</w:t>
            </w:r>
          </w:p>
        </w:tc>
      </w:tr>
      <w:tr w14:paraId="181C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0C5F">
            <w:pPr>
              <w:widowControl/>
              <w:adjustRightInd w:val="0"/>
              <w:snapToGrid w:val="0"/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bCs/>
                <w:color w:val="000000"/>
                <w:kern w:val="0"/>
                <w:sz w:val="24"/>
                <w:szCs w:val="22"/>
              </w:rPr>
              <w:t>一、临床标本管理要求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93B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B3B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CF0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11E7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</w:tr>
      <w:tr w14:paraId="0FD7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2D5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1.标本标识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992B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（1）临床标本必须有明确、清晰的标识。（标本无明确、清晰的标识扣1分）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733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现场查看标本标识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F83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780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E9AA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3F307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EFA4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949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（2）实验室应制定有明确编码规则的标本标识，确保标识的唯一性。（无标本标识编码规则扣0.5分；标本标识不唯一扣0.5分）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006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查看制度文件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EB3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5C5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3DAD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5631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776C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2.采样要求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344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（1）应编写与检验项目相适应的标本采集手册或说明书，并发放至采血部门和临床科室。（无标本采集要求扣0.5分；未发放至采集部门或无发放记录扣0.5分）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4A4A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查看采集手册及记录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95D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BCD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D00A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093C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EB7D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2C4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（2）采样后要记录标本采集时间。（无标本采集时间扣0.5分；采集时间不准确扣0.5分）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6E4A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现场抽查5份申请单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D44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DEC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62A0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073F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75B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3.标本运输及预处理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C29D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（1）标本运输时应在规定的保存条件（如低温、密封、闭光）下进行，应放入坚固容器中（起依托和防泄漏作用），在规定时间内送至实验室。（无标本运输保存条件及时间规定扣0.5分；未按要求执行扣0.5分）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2889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查看文件及执行情况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092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C64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EB59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38E11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CF4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8CA1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（2）需进行血清分离的标本应在规定时间内完成（无明确的标本处理时间规定扣0.5分；未按要求执行扣0.5分）。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57C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查看文件及执行情况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994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611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E880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7B76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ED2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4.标本交接及验收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E19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（1）应制定标本的拒收标准和验收程序文件；不适宜进行检验的标本，应及时通知检验申请者或留样者处理，并做记录。（无标本拒收标准扣0.5分；无验收程序文件扣0.5分）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382A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D8D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803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C78E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1F53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9D18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B573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（2）临床标本的交接过程应有记录，记录至少包括：接收时间、标本数量、标本质量、接收人；条件允许时，应记录标本标识。（无标本接收记录扣0.5分；记录不完整扣0.5分）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CF27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E4F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50B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5C8F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3A15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A08B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5.标本保存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EF2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（1）实验室中的标本应能明确区分其检测状态，待检标本、检测中标本及检测后标本的放置区域应有明确标识，并易于识别。（实验室无区分标本检测状态的标识扣1分）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E9A9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现场查看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C11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610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D1AB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7B3F8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4AEE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4AD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（2）医学检验科应根据标本中被测物稳定性的特点，制定检测后标本的保留期限和保存条件，以备复检使用。（无检测后标本保存条件和保存时间的规定扣0.5分；未按规定执行扣0.5分）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F8E2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查看文件规定及执行情况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F9E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9C4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FA08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403A7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FDA7">
            <w:pPr>
              <w:widowControl/>
              <w:adjustRightInd w:val="0"/>
              <w:snapToGrid w:val="0"/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  <w:t>二、检验设备的管理要求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A5C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4A5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A79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503F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6100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7EC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1.实验室应配备检验服务所需的全部设备，使用的分析仪器设备及重要的辅助设备，应有国家食品药品管理局（CFDA）批准或注册的文件。（仪器设备无CFDA批准文件扣1分）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F242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现场查看和批准文件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A5C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CAA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397F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01C8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E0E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.实验室应制定相应程序，规定安全操作、搬运和使用检验设备。带有试剂冷藏功能的仪器设备，关机后应继续保持试剂的冷藏功能状态。建立设备维护和功能监测的程序文件，按要求执行并做记录。（无设备安全操作、搬运和使用的文件扣1分；无仪器设备维护保养和功能检查程序文件扣1分；记录不完整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347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AC0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111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D974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2B5DA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7B5A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3.应按照国家相关规定对检测仪器进行检定、校准，并做相应记录。（无仪器设备的校准方案扣0.5分；无校准报告或不完整，如无原始数据或审核签字扣0.5分；无检定记录扣0.5分）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7C0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C46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1.5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96E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9E5B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74EB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DCE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4.应为检测仪器建立设备档案，并加贴标识，以表明其工作和校准状态、校准日期和负责人。（无仪器设备档案扣0.5分；仪器设备无标识扣0.5分；标识不完整扣0.5分）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00F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现场查看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DA2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1.5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FAD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05C3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3DC9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A1E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5.实验室应制定检验操作的作业指导书（SOP文件），方便操作人员阅读和使用。（无仪器设备或检验项目的SOP文件，每项扣1分，SOP不完整扣1分）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6B81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86F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A74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4BD2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28E3D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AC10">
            <w:pPr>
              <w:widowControl/>
              <w:adjustRightInd w:val="0"/>
              <w:snapToGrid w:val="0"/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  <w:t>三、检验试剂的管理要求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CF52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1D4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DB8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6546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2D4D1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989A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实验室应有试剂选择、采购和使用的管理制度文件，并有使用记录。使用的检测试剂，应有国家食品药品管理局（CFDA）批准或注册的文件。（检验试剂无CFDA批准文件扣1分；无试剂相关制度文件扣0.5分；无试剂使用记录扣0.5分；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93E3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29E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8E1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A907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3253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4E9D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.实验室应按照厂家的要求保存试剂，确保使用效期内的试剂；实验室应有更换新批号或新批次试剂时的质量验证程序和记录。（无试剂冰箱温度监测记录扣0.5分；使用超过保质期的试剂，包括试剂、校准品、质控品等扣1.5分；无记录或记录不完整扣1分；更换新批号或新批次试剂无质量验证程序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50FE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855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C1D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12DC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35CB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D45D">
            <w:pPr>
              <w:widowControl/>
              <w:adjustRightInd w:val="0"/>
              <w:snapToGrid w:val="0"/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  <w:t>四、实验室质量体系管理要求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286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AD1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F321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118EB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7E1FF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C1D7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1.质量体系文件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27DC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实验室应有与实验室工作相符合的质量管理体系文件，并保证管理体系有效运行。（无实验室管理制度文件扣1分；无程序文件扣1分；质量体系文件不完整或文件不适用扣2分）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3691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查看制度和程序文件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5EC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6EA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EE47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79CBD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5AF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2.人员管理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B66B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实验室技术人员应满足工作需要，应有人员资质要求，人员培训、考核、授权记录，人员档案。（人员数量不能满足工作需求扣1分；无人员培训和考核记录扣1分；无人员授权记录扣1分；无人员档案扣1分）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786C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查看人员档案和文件资料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D2B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50D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872C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0099D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136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3.环境和设施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5178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实验室应有明确的分区，环境温、湿度要求和监测记录。（无温、湿度要求和监测记录扣1分；记录不完整或不真实扣1分）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045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CBA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8C7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1E82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44A4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A3D2">
            <w:pPr>
              <w:widowControl/>
              <w:adjustRightInd w:val="0"/>
              <w:snapToGrid w:val="0"/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  <w:t>五、分析中质量控制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D528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A71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55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CB3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414B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6C22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F840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1.室内质量控制要求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21A7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（1）应制定室内质量控制方案，包括质控物来源、浓度、质控规则和质控记录管理等。（无相关文件扣或文件不适用扣1分；文件不完整扣0.5分）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1148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527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1.5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F86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7709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606C9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EB52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4969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2）实验室应选用均匀性和稳定性较好、基质效应小的室内质控物；使用商品质控物时，应符合质控物特定要求；自制质控物时，应建立制备质控物的操作规程并保留全部验证实验数据，确保质控物的均匀性和稳定性。（无室内质控物选择程序文件扣0.5分；无自制质控物制备程序文件和质量验证记录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E78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043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EBE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AC01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10CBB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64BD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57E2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3）定量实验应至少测定2个或以上浓度水平的质控物；定性实验应同时采用弱阳性和阴性质控物。（未开展室内质控，每项扣0.5分；质控品浓度水平不符合要求，每项扣0.5分；定性项目未采用阳性和阴性质控物，每项扣0.5分。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6218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查看质控文件和记录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64A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1.5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2D2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9396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3A55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FA23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84B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（4）定量实验至少应采用1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vertAlign w:val="subscript"/>
              </w:rPr>
              <w:t>2S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为警告规则，1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vertAlign w:val="subscript"/>
              </w:rPr>
              <w:t>3S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和2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  <w:vertAlign w:val="subscript"/>
              </w:rPr>
              <w:t>2S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为失控规则；定性实验的质控结果，应与预期结果一致。（未明确规定检验项目的质控规则，每项扣1分；质控规则不适用，每项扣1分）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690B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查看质控文件和记录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0C0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2ED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E1EE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755C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165A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E717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5）应及时审核质控结果，只有质控结果“在控”时，方能发出报告；室内质控结果失控时，应分析原因，纠正后方可进行临床标本检测或发出报告。（文件中无明确规定扣1分；失控无分析处理记录或原因及纠正措施无效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94DA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查看质控文件和记录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B62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26B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D7B6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5F490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FFAB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52EE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6）定量实验应实时绘制质控图，并保存原始检测数据。推荐采用计算机自动收集质控数据，使用重复点显示功能，在质控图上标识全部数据点；实验室应对室内质控结果进行月、年度统计分析、评价并记录。（未绘制质控图，每项扣0.5分；质控原始数据电子版和纸质版不符合要求，每项扣0.5分；未保留失控点扣2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C74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EE1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619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683B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43BF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4F5E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3A9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（7）检验项目的室内精密度应符合互认实验室质量要求。（室内精密度不符合要求每项扣1分）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8A6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588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711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B4FE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442E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8194">
            <w:pPr>
              <w:widowControl/>
              <w:tabs>
                <w:tab w:val="left" w:pos="312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2.室间质量评价要求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23A2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（1）实验室应参加室间质量评价活动，最近一年成绩合格。（无室间质评制度文件扣2分；未参加室间质量评价，每项扣3分；成绩不合格，每项扣1分）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7D0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C30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15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445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1472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5F8C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D55E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12A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2）实验室应制定室间质评相关程序文件，保存相关记录，至少包括：EQA结果回报表、检测结果原始数据、EQA评价报告、不可接受结果分析报告等，并由操作人员、实验室负责人或授权人审核签字。（无程序文件扣1分；相关记录不完整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F14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785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ECB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F819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6A831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D6C4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BCE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（3）室间质评结果评价为“不合格”时，实验室应对相应结果进行分析，查找原因并采取必要的纠正措施。（文件中无明确规定扣1分；无分析处理记录或原因及纠正措施无效扣1分）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D56D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078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480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B142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2680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F488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12A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（4）无室间质评的项目应进行实验室间比对，并保存记录。（无室间比对程序文件扣0.5分；无比对记录扣0.5分）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98E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查看程序文件和记录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700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09B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7F43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44FBC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EB2A">
            <w:pPr>
              <w:widowControl/>
              <w:tabs>
                <w:tab w:val="left" w:pos="312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3.检测系统的性能验证或评价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168BE3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1）实验室应制定方法学性能验证程序文件，并对检测系统的性能进行验证；定量项目应包括精密度、线性范围、正确度、参考区间验证等；定性项目应包括最低检出限、重复性和符合率验证；并保留记录。（无性能验证程序文件扣2分；无性能验证记录或记录不完整每项扣1分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F62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查看程序文件和记录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803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834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DC2C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1333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3896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EE5114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（2）使用非配套检测系统时，实验室应制定性能评价程序文件，并按要求执行和保存相关记录。（无性能评价程序扣1分；无记录或记录不完整每项扣1分）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BB95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647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064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7372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1918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318F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4.仪器间结果比对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B3D3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使用2台以上设备检测同一项目时应定期进行仪器间结果比对，并保存记录（除外不同样本类型、不同参考区间）。（无仪器间结果比对程序文件扣0.5分；无比对记录扣0.5分）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E75B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查看程序文件和记录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EF5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000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DE89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7896E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01A2">
            <w:pPr>
              <w:widowControl/>
              <w:adjustRightInd w:val="0"/>
              <w:snapToGrid w:val="0"/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  <w:t>六、分析后质量要求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001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1ED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10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463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F813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0134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79AD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1.检验报告信息完整性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4DB4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检验报告至少应包含：实验室信息（名称、地址、标识、联系方式），患者信息（姓名、性别、年龄），标本信息（标本种类、采集时间，送达时间）、检测信息（结果、参考区间）、报告发布时间、实验室操作者和审核者。临床免疫、凝血试验项目、部分生化项目应注明检测系统或检测方法。（缺项每项扣0.5分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78C2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查看报告单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342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8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698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50BB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5CD94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FF0A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2.危急值管理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AAE0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应制定危急值管理制度及报告程序，并有记录。（无危急值管理制度和报告程序，扣1分；危急值报告记录不全，包括报告人及时间、接收人及时间、项目、结果及单位扣1分）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906B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查看程序文件和记录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7AF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75A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D5A1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  <w:tr w14:paraId="5C42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9C14">
            <w:pPr>
              <w:widowControl/>
              <w:adjustRightInd w:val="0"/>
              <w:snapToGrid w:val="0"/>
              <w:jc w:val="center"/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方正黑体简体" w:hAnsi="仿宋_GB2312" w:eastAsia="方正黑体简体" w:cs="仿宋_GB2312"/>
                <w:b w:val="0"/>
                <w:color w:val="000000"/>
                <w:kern w:val="0"/>
                <w:sz w:val="24"/>
                <w:szCs w:val="22"/>
              </w:rPr>
              <w:t>总 分</w:t>
            </w:r>
          </w:p>
        </w:tc>
        <w:tc>
          <w:tcPr>
            <w:tcW w:w="2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B84E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BD74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A65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2"/>
              </w:rPr>
              <w:t>100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681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7923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2"/>
              </w:rPr>
            </w:pPr>
          </w:p>
        </w:tc>
      </w:tr>
    </w:tbl>
    <w:p w14:paraId="188553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7D1D5"/>
    <w:rsid w:val="75C7D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200" w:firstLineChars="200"/>
    </w:pPr>
    <w:rPr>
      <w:rFonts w:ascii="Times New Roman" w:hAnsi="Times New Roman" w:eastAsia="楷体_GB2312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2025-11-27T16:27:00Z</dcterms:created>
  <dc:creator>uos</dc:creator>
  <cp:lastModifiedBy>uos</cp:lastModifiedBy>
  <dcterms:modified xsi:type="dcterms:W3CDTF">2025-11-27T16:30:53Z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89B11CC82BC78AE7730B28694E36E195_41</vt:lpwstr>
  </property>
</Properties>
</file>